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50A" w:rsidRPr="002C750A" w:rsidRDefault="005844A1" w:rsidP="005844A1">
      <w:pPr>
        <w:jc w:val="center"/>
        <w:rPr>
          <w:rFonts w:ascii="Century Gothic" w:hAnsi="Century Gothic" w:cs="Arial"/>
          <w:sz w:val="24"/>
          <w:szCs w:val="24"/>
        </w:rPr>
      </w:pPr>
      <w:r>
        <w:rPr>
          <w:rFonts w:ascii="Century Gothic" w:hAnsi="Century Gothic" w:cs="Arial"/>
          <w:noProof/>
          <w:sz w:val="24"/>
          <w:szCs w:val="24"/>
        </w:rPr>
        <w:drawing>
          <wp:inline distT="0" distB="0" distL="0" distR="0">
            <wp:extent cx="2746248" cy="9936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_City of Alexandria_logo-full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6248" cy="993648"/>
                    </a:xfrm>
                    <a:prstGeom prst="rect">
                      <a:avLst/>
                    </a:prstGeom>
                  </pic:spPr>
                </pic:pic>
              </a:graphicData>
            </a:graphic>
          </wp:inline>
        </w:drawing>
      </w:r>
    </w:p>
    <w:p w:rsidR="002C750A" w:rsidRPr="002C1FAF" w:rsidRDefault="002C750A" w:rsidP="002C750A">
      <w:pPr>
        <w:jc w:val="center"/>
        <w:rPr>
          <w:rFonts w:ascii="Century Gothic" w:hAnsi="Century Gothic"/>
          <w:b/>
          <w:sz w:val="24"/>
          <w:szCs w:val="24"/>
        </w:rPr>
      </w:pPr>
      <w:r w:rsidRPr="002C1FAF">
        <w:rPr>
          <w:rFonts w:ascii="Century Gothic" w:hAnsi="Century Gothic"/>
          <w:b/>
          <w:sz w:val="24"/>
          <w:szCs w:val="24"/>
        </w:rPr>
        <w:t>Rental Registration – Related Items</w:t>
      </w:r>
    </w:p>
    <w:p w:rsidR="002C750A" w:rsidRPr="002C1FAF" w:rsidRDefault="002C750A" w:rsidP="002C750A">
      <w:pPr>
        <w:rPr>
          <w:rFonts w:ascii="Century Gothic" w:hAnsi="Century Gothic" w:cs="Arial"/>
          <w:sz w:val="16"/>
          <w:szCs w:val="16"/>
        </w:rPr>
      </w:pPr>
    </w:p>
    <w:p w:rsidR="002C750A" w:rsidRPr="002C1FAF" w:rsidRDefault="002C750A" w:rsidP="002C750A">
      <w:pPr>
        <w:rPr>
          <w:rFonts w:ascii="Century Gothic" w:hAnsi="Century Gothic"/>
          <w:b/>
        </w:rPr>
      </w:pPr>
      <w:r w:rsidRPr="002C1FAF">
        <w:rPr>
          <w:rFonts w:ascii="Century Gothic" w:hAnsi="Century Gothic"/>
          <w:b/>
          <w:u w:val="single"/>
        </w:rPr>
        <w:t>DEFINITIONS</w:t>
      </w:r>
    </w:p>
    <w:p w:rsidR="002C750A" w:rsidRPr="002C1FAF" w:rsidRDefault="002C750A" w:rsidP="002C750A">
      <w:pPr>
        <w:rPr>
          <w:rFonts w:ascii="Century Gothic" w:hAnsi="Century Gothic"/>
          <w:sz w:val="16"/>
          <w:szCs w:val="16"/>
        </w:rPr>
      </w:pPr>
    </w:p>
    <w:p w:rsidR="002C750A" w:rsidRDefault="002C1FAF" w:rsidP="002C750A">
      <w:pPr>
        <w:rPr>
          <w:rFonts w:ascii="Century Gothic" w:hAnsi="Century Gothic"/>
        </w:rPr>
      </w:pPr>
      <w:r>
        <w:rPr>
          <w:rFonts w:ascii="Century Gothic" w:hAnsi="Century Gothic"/>
          <w:b/>
        </w:rPr>
        <w:t>Rental Unit or Residential Rental</w:t>
      </w:r>
      <w:r w:rsidR="002C750A" w:rsidRPr="005844A1">
        <w:rPr>
          <w:rFonts w:ascii="Century Gothic" w:hAnsi="Century Gothic"/>
          <w:b/>
        </w:rPr>
        <w:t xml:space="preserve"> </w:t>
      </w:r>
      <w:r w:rsidR="00F0675C" w:rsidRPr="005844A1">
        <w:rPr>
          <w:rFonts w:ascii="Century Gothic" w:hAnsi="Century Gothic"/>
          <w:b/>
        </w:rPr>
        <w:t>Unit</w:t>
      </w:r>
      <w:r w:rsidR="002C750A" w:rsidRPr="005844A1">
        <w:rPr>
          <w:rFonts w:ascii="Century Gothic" w:hAnsi="Century Gothic"/>
        </w:rPr>
        <w:t xml:space="preserve"> –</w:t>
      </w:r>
      <w:r>
        <w:rPr>
          <w:rFonts w:ascii="Century Gothic" w:hAnsi="Century Gothic"/>
        </w:rPr>
        <w:t xml:space="preserve"> Any house, apartment, condominium, townhouse, room, or group of rooms, constituting or located within, a dwelling and forming a single habitable unit which is leased or rented for occupancy for a period of not less than thirty (30) days, but not including private/vacation home rental, bed and breakfast, resort, hotel, or motel.</w:t>
      </w:r>
    </w:p>
    <w:p w:rsidR="002C1FAF" w:rsidRPr="002C1FAF" w:rsidRDefault="002C1FAF" w:rsidP="002C750A">
      <w:pPr>
        <w:rPr>
          <w:rFonts w:ascii="Century Gothic" w:hAnsi="Century Gothic"/>
          <w:sz w:val="16"/>
          <w:szCs w:val="16"/>
        </w:rPr>
      </w:pPr>
    </w:p>
    <w:p w:rsidR="002C1FAF" w:rsidRPr="002C1FAF" w:rsidRDefault="002C1FAF" w:rsidP="002C750A">
      <w:pPr>
        <w:rPr>
          <w:rFonts w:ascii="Century Gothic" w:hAnsi="Century Gothic"/>
        </w:rPr>
      </w:pPr>
      <w:r>
        <w:rPr>
          <w:rFonts w:ascii="Century Gothic" w:hAnsi="Century Gothic"/>
          <w:b/>
        </w:rPr>
        <w:t>NOTE:</w:t>
      </w:r>
      <w:r>
        <w:rPr>
          <w:rFonts w:ascii="Century Gothic" w:hAnsi="Century Gothic"/>
        </w:rPr>
        <w:t xml:space="preserve"> Sleeping rooms that are rented individually </w:t>
      </w:r>
      <w:r w:rsidR="006455E3">
        <w:rPr>
          <w:rFonts w:ascii="Century Gothic" w:hAnsi="Century Gothic"/>
        </w:rPr>
        <w:t xml:space="preserve">are </w:t>
      </w:r>
      <w:r>
        <w:rPr>
          <w:rFonts w:ascii="Century Gothic" w:hAnsi="Century Gothic"/>
        </w:rPr>
        <w:t xml:space="preserve">each </w:t>
      </w:r>
      <w:r w:rsidR="006455E3">
        <w:rPr>
          <w:rFonts w:ascii="Century Gothic" w:hAnsi="Century Gothic"/>
        </w:rPr>
        <w:t xml:space="preserve">considered as </w:t>
      </w:r>
      <w:r>
        <w:rPr>
          <w:rFonts w:ascii="Century Gothic" w:hAnsi="Century Gothic"/>
        </w:rPr>
        <w:t xml:space="preserve">a </w:t>
      </w:r>
      <w:r w:rsidRPr="002C1FAF">
        <w:rPr>
          <w:rFonts w:ascii="Century Gothic" w:hAnsi="Century Gothic"/>
          <w:b/>
          <w:u w:val="single"/>
        </w:rPr>
        <w:t>separate</w:t>
      </w:r>
      <w:r>
        <w:rPr>
          <w:rFonts w:ascii="Century Gothic" w:hAnsi="Century Gothic"/>
        </w:rPr>
        <w:t xml:space="preserve"> rental unit.</w:t>
      </w:r>
    </w:p>
    <w:p w:rsidR="002C750A" w:rsidRPr="002C1FAF" w:rsidRDefault="002C750A" w:rsidP="002C750A">
      <w:pPr>
        <w:rPr>
          <w:rFonts w:ascii="Century Gothic" w:hAnsi="Century Gothic"/>
          <w:sz w:val="16"/>
          <w:szCs w:val="16"/>
        </w:rPr>
      </w:pPr>
    </w:p>
    <w:p w:rsidR="002C750A" w:rsidRPr="004D29F0" w:rsidRDefault="002C750A" w:rsidP="002C750A">
      <w:pPr>
        <w:rPr>
          <w:rFonts w:ascii="Century Gothic" w:hAnsi="Century Gothic"/>
          <w:b/>
        </w:rPr>
      </w:pPr>
      <w:r w:rsidRPr="004D29F0">
        <w:rPr>
          <w:rFonts w:ascii="Century Gothic" w:hAnsi="Century Gothic"/>
          <w:b/>
          <w:u w:val="single"/>
        </w:rPr>
        <w:t>MINNESOTA COURT OF APPEALS RULING</w:t>
      </w:r>
    </w:p>
    <w:p w:rsidR="002C750A" w:rsidRPr="005844A1" w:rsidRDefault="002C750A" w:rsidP="002C750A">
      <w:pPr>
        <w:rPr>
          <w:rFonts w:ascii="Century Gothic" w:hAnsi="Century Gothic"/>
        </w:rPr>
      </w:pPr>
      <w:r w:rsidRPr="005844A1">
        <w:rPr>
          <w:rFonts w:ascii="Century Gothic" w:hAnsi="Century Gothic"/>
        </w:rPr>
        <w:t xml:space="preserve">The Minnesota Court of Appeals </w:t>
      </w:r>
      <w:r w:rsidR="00BA6741" w:rsidRPr="005844A1">
        <w:rPr>
          <w:rFonts w:ascii="Century Gothic" w:hAnsi="Century Gothic"/>
        </w:rPr>
        <w:t xml:space="preserve">has </w:t>
      </w:r>
      <w:r w:rsidRPr="005844A1">
        <w:rPr>
          <w:rFonts w:ascii="Century Gothic" w:hAnsi="Century Gothic"/>
        </w:rPr>
        <w:t xml:space="preserve">ruled </w:t>
      </w:r>
      <w:r w:rsidRPr="005844A1">
        <w:rPr>
          <w:rFonts w:ascii="Century Gothic" w:hAnsi="Century Gothic"/>
          <w:i/>
        </w:rPr>
        <w:t>(</w:t>
      </w:r>
      <w:proofErr w:type="spellStart"/>
      <w:r w:rsidRPr="005844A1">
        <w:rPr>
          <w:rFonts w:ascii="Century Gothic" w:hAnsi="Century Gothic"/>
          <w:i/>
        </w:rPr>
        <w:t>Beaumia</w:t>
      </w:r>
      <w:proofErr w:type="spellEnd"/>
      <w:r w:rsidRPr="005844A1">
        <w:rPr>
          <w:rFonts w:ascii="Century Gothic" w:hAnsi="Century Gothic"/>
          <w:i/>
        </w:rPr>
        <w:t xml:space="preserve"> vs. </w:t>
      </w:r>
      <w:proofErr w:type="spellStart"/>
      <w:r w:rsidRPr="005844A1">
        <w:rPr>
          <w:rFonts w:ascii="Century Gothic" w:hAnsi="Century Gothic"/>
          <w:i/>
        </w:rPr>
        <w:t>Eisenbraun</w:t>
      </w:r>
      <w:proofErr w:type="spellEnd"/>
      <w:r w:rsidRPr="005844A1">
        <w:rPr>
          <w:rFonts w:ascii="Century Gothic" w:hAnsi="Century Gothic"/>
          <w:i/>
        </w:rPr>
        <w:t>,</w:t>
      </w:r>
      <w:r w:rsidRPr="005844A1">
        <w:rPr>
          <w:rFonts w:ascii="Century Gothic" w:hAnsi="Century Gothic"/>
        </w:rPr>
        <w:t xml:space="preserve"> Minn. 2007) that a landlord’s failure to comply with the registration requirements of a City Residential Rental Registration Ordinance nullifies any lease agreement the landlord may have with a tenant and </w:t>
      </w:r>
      <w:r w:rsidR="00C3294C" w:rsidRPr="005844A1">
        <w:rPr>
          <w:rFonts w:ascii="Century Gothic" w:hAnsi="Century Gothic"/>
        </w:rPr>
        <w:t xml:space="preserve">relieves </w:t>
      </w:r>
      <w:r w:rsidRPr="005844A1">
        <w:rPr>
          <w:rFonts w:ascii="Century Gothic" w:hAnsi="Century Gothic"/>
        </w:rPr>
        <w:t>the tenant of any obligation to pay rent.</w:t>
      </w:r>
    </w:p>
    <w:p w:rsidR="002C750A" w:rsidRPr="002C1FAF" w:rsidRDefault="002C750A" w:rsidP="002C750A">
      <w:pPr>
        <w:rPr>
          <w:rFonts w:ascii="Century Gothic" w:hAnsi="Century Gothic"/>
          <w:sz w:val="16"/>
          <w:szCs w:val="16"/>
        </w:rPr>
      </w:pPr>
    </w:p>
    <w:p w:rsidR="002C750A" w:rsidRPr="004D29F0" w:rsidRDefault="002C750A" w:rsidP="002C750A">
      <w:pPr>
        <w:rPr>
          <w:rFonts w:ascii="Century Gothic" w:hAnsi="Century Gothic"/>
          <w:b/>
        </w:rPr>
      </w:pPr>
      <w:r w:rsidRPr="004D29F0">
        <w:rPr>
          <w:rFonts w:ascii="Century Gothic" w:hAnsi="Century Gothic"/>
          <w:b/>
          <w:u w:val="single"/>
        </w:rPr>
        <w:t>BACKGROUND CHECK AUTHORIZED</w:t>
      </w:r>
    </w:p>
    <w:p w:rsidR="003A51D1" w:rsidRPr="005844A1" w:rsidRDefault="003A51D1" w:rsidP="003A51D1">
      <w:pPr>
        <w:rPr>
          <w:rFonts w:ascii="Century Gothic" w:hAnsi="Century Gothic" w:cs="Arial"/>
        </w:rPr>
      </w:pPr>
      <w:r w:rsidRPr="005844A1">
        <w:rPr>
          <w:rFonts w:ascii="Century Gothic" w:hAnsi="Century Gothic" w:cs="Arial"/>
        </w:rPr>
        <w:t xml:space="preserve">A state law known as the Kari Koskinen Manager Background Check Act (Minn. Stat. Sections 299C.66 to 299C.71) requires that before hiring a property manager, </w:t>
      </w:r>
      <w:r w:rsidRPr="005844A1">
        <w:rPr>
          <w:rFonts w:ascii="Century Gothic" w:hAnsi="Century Gothic" w:cs="Arial"/>
          <w:b/>
        </w:rPr>
        <w:t>a landlord must conduct a background check on the potential manager</w:t>
      </w:r>
      <w:r w:rsidRPr="005844A1">
        <w:rPr>
          <w:rFonts w:ascii="Century Gothic" w:hAnsi="Century Gothic" w:cs="Arial"/>
        </w:rPr>
        <w:t xml:space="preserve">.  For the purposes of this law, a manager is defined as any individual who is hired or is applying to be hired by an owner and who has or would have the means, within the scope of the individual's duties, to enter tenants' dwelling units, but a manager is not a person who is hired on a casual basis and not in the ongoing course of the business of the owner.  If the background check reveals that the manager has been convicted of a background check crime defined in Minn. Stat. Section 299C.67, </w:t>
      </w:r>
      <w:proofErr w:type="spellStart"/>
      <w:r w:rsidRPr="005844A1">
        <w:rPr>
          <w:rFonts w:ascii="Century Gothic" w:hAnsi="Century Gothic" w:cs="Arial"/>
        </w:rPr>
        <w:t>subd</w:t>
      </w:r>
      <w:proofErr w:type="spellEnd"/>
      <w:r w:rsidRPr="005844A1">
        <w:rPr>
          <w:rFonts w:ascii="Century Gothic" w:hAnsi="Century Gothic" w:cs="Arial"/>
        </w:rPr>
        <w:t xml:space="preserve">. 2, paragraph (a), the landlord may not hire the manager or, if the manager was hired pending completion of the background check, shall terminate the manager's employment.  This law also imposes other background check rights and obligations on landlords, </w:t>
      </w:r>
      <w:r w:rsidR="005D582D" w:rsidRPr="005844A1">
        <w:rPr>
          <w:rFonts w:ascii="Century Gothic" w:hAnsi="Century Gothic" w:cs="Arial"/>
        </w:rPr>
        <w:t>tenants, and property managers.</w:t>
      </w:r>
    </w:p>
    <w:p w:rsidR="005844A1" w:rsidRPr="002C1FAF" w:rsidRDefault="005844A1" w:rsidP="003A51D1">
      <w:pPr>
        <w:rPr>
          <w:rFonts w:ascii="Century Gothic" w:hAnsi="Century Gothic" w:cs="Arial"/>
          <w:sz w:val="16"/>
          <w:szCs w:val="16"/>
        </w:rPr>
      </w:pPr>
    </w:p>
    <w:p w:rsidR="005844A1" w:rsidRPr="005844A1" w:rsidRDefault="005844A1" w:rsidP="003A51D1">
      <w:pPr>
        <w:rPr>
          <w:rFonts w:ascii="Century Gothic" w:hAnsi="Century Gothic" w:cs="Arial"/>
        </w:rPr>
      </w:pPr>
      <w:r w:rsidRPr="005844A1">
        <w:rPr>
          <w:rFonts w:ascii="Century Gothic" w:hAnsi="Century Gothic" w:cs="Arial"/>
        </w:rPr>
        <w:t>Please use the following link to access information for requesting background checks:</w:t>
      </w:r>
    </w:p>
    <w:p w:rsidR="005844A1" w:rsidRPr="002C1FAF" w:rsidRDefault="005844A1" w:rsidP="003A51D1">
      <w:pPr>
        <w:rPr>
          <w:rFonts w:ascii="Century Gothic" w:hAnsi="Century Gothic" w:cs="Arial"/>
          <w:sz w:val="16"/>
          <w:szCs w:val="16"/>
        </w:rPr>
      </w:pPr>
    </w:p>
    <w:p w:rsidR="005844A1" w:rsidRPr="005844A1" w:rsidRDefault="006455E3" w:rsidP="005844A1">
      <w:pPr>
        <w:jc w:val="center"/>
        <w:rPr>
          <w:color w:val="1F497D"/>
        </w:rPr>
      </w:pPr>
      <w:hyperlink r:id="rId6" w:history="1">
        <w:r w:rsidR="005844A1" w:rsidRPr="005844A1">
          <w:rPr>
            <w:rStyle w:val="Hyperlink"/>
          </w:rPr>
          <w:t>https://dps.mn.gov/divisions/bca/pages/background-checks.aspx</w:t>
        </w:r>
      </w:hyperlink>
    </w:p>
    <w:p w:rsidR="003A51D1" w:rsidRPr="002C1FAF" w:rsidRDefault="003A51D1" w:rsidP="002C750A">
      <w:pPr>
        <w:rPr>
          <w:rFonts w:ascii="Century Gothic" w:hAnsi="Century Gothic"/>
          <w:sz w:val="16"/>
          <w:szCs w:val="16"/>
        </w:rPr>
      </w:pPr>
    </w:p>
    <w:p w:rsidR="002C750A" w:rsidRPr="004D29F0" w:rsidRDefault="002C750A" w:rsidP="002C750A">
      <w:pPr>
        <w:rPr>
          <w:rFonts w:ascii="Century Gothic" w:hAnsi="Century Gothic"/>
          <w:b/>
        </w:rPr>
      </w:pPr>
      <w:r w:rsidRPr="004D29F0">
        <w:rPr>
          <w:rFonts w:ascii="Century Gothic" w:hAnsi="Century Gothic"/>
          <w:b/>
          <w:u w:val="single"/>
        </w:rPr>
        <w:t>HUD SECTION 8</w:t>
      </w:r>
    </w:p>
    <w:p w:rsidR="002C750A" w:rsidRPr="005844A1" w:rsidRDefault="002C750A" w:rsidP="002C750A">
      <w:pPr>
        <w:rPr>
          <w:rFonts w:ascii="Century Gothic" w:hAnsi="Century Gothic"/>
        </w:rPr>
      </w:pPr>
      <w:r w:rsidRPr="005844A1">
        <w:rPr>
          <w:rFonts w:ascii="Century Gothic" w:hAnsi="Century Gothic"/>
        </w:rPr>
        <w:t>If you are registering a unit or units that are eligible for the reduced ($7.50) annual registration fee as being Sectio</w:t>
      </w:r>
      <w:r w:rsidR="006455E3">
        <w:rPr>
          <w:rFonts w:ascii="Century Gothic" w:hAnsi="Century Gothic"/>
        </w:rPr>
        <w:t xml:space="preserve">n 8 eligible, </w:t>
      </w:r>
      <w:bookmarkStart w:id="0" w:name="_GoBack"/>
      <w:r w:rsidR="006455E3" w:rsidRPr="006455E3">
        <w:rPr>
          <w:rFonts w:ascii="Century Gothic" w:hAnsi="Century Gothic"/>
          <w:b/>
          <w:u w:val="single"/>
        </w:rPr>
        <w:t xml:space="preserve">you must attach a </w:t>
      </w:r>
      <w:r w:rsidRPr="006455E3">
        <w:rPr>
          <w:rFonts w:ascii="Century Gothic" w:hAnsi="Century Gothic"/>
          <w:b/>
          <w:u w:val="single"/>
        </w:rPr>
        <w:t>copy</w:t>
      </w:r>
      <w:r w:rsidRPr="005844A1">
        <w:rPr>
          <w:rFonts w:ascii="Century Gothic" w:hAnsi="Century Gothic"/>
        </w:rPr>
        <w:t xml:space="preserve"> </w:t>
      </w:r>
      <w:bookmarkEnd w:id="0"/>
      <w:r w:rsidRPr="005844A1">
        <w:rPr>
          <w:rFonts w:ascii="Century Gothic" w:hAnsi="Century Gothic"/>
        </w:rPr>
        <w:t xml:space="preserve">of </w:t>
      </w:r>
      <w:r w:rsidR="006455E3">
        <w:rPr>
          <w:rFonts w:ascii="Century Gothic" w:hAnsi="Century Gothic"/>
        </w:rPr>
        <w:t>your</w:t>
      </w:r>
      <w:r w:rsidRPr="005844A1">
        <w:rPr>
          <w:rFonts w:ascii="Century Gothic" w:hAnsi="Century Gothic"/>
        </w:rPr>
        <w:t xml:space="preserve"> current contract (or addendum to a contract) with the Douglas County HRA for those units.</w:t>
      </w:r>
    </w:p>
    <w:p w:rsidR="002C750A" w:rsidRPr="002C1FAF" w:rsidRDefault="002C750A" w:rsidP="002C750A">
      <w:pPr>
        <w:rPr>
          <w:rFonts w:ascii="Century Gothic" w:hAnsi="Century Gothic"/>
          <w:sz w:val="16"/>
          <w:szCs w:val="16"/>
        </w:rPr>
      </w:pPr>
    </w:p>
    <w:p w:rsidR="003A51D1" w:rsidRPr="004D29F0" w:rsidRDefault="003A51D1" w:rsidP="002C750A">
      <w:pPr>
        <w:rPr>
          <w:rFonts w:ascii="Century Gothic" w:hAnsi="Century Gothic"/>
          <w:b/>
        </w:rPr>
      </w:pPr>
      <w:r w:rsidRPr="004D29F0">
        <w:rPr>
          <w:rFonts w:ascii="Century Gothic" w:hAnsi="Century Gothic"/>
          <w:b/>
          <w:u w:val="single"/>
        </w:rPr>
        <w:t>NOTE</w:t>
      </w:r>
    </w:p>
    <w:p w:rsidR="009D69AA" w:rsidRPr="005844A1" w:rsidRDefault="002C750A">
      <w:pPr>
        <w:rPr>
          <w:rFonts w:ascii="Century Gothic" w:hAnsi="Century Gothic" w:cs="Arial"/>
        </w:rPr>
      </w:pPr>
      <w:r w:rsidRPr="005844A1">
        <w:rPr>
          <w:rFonts w:ascii="Century Gothic" w:hAnsi="Century Gothic" w:cs="Arial"/>
        </w:rPr>
        <w:t>Please know that these materials are summaries only and are not intended to be a full recitation of all laws, ordinances, rules, and regulations that apply to landlords and tenant</w:t>
      </w:r>
      <w:r w:rsidR="004D29F0">
        <w:rPr>
          <w:rFonts w:ascii="Century Gothic" w:hAnsi="Century Gothic" w:cs="Arial"/>
        </w:rPr>
        <w:t>s in Alexandria, Minnesota.  F</w:t>
      </w:r>
      <w:r w:rsidRPr="005844A1">
        <w:rPr>
          <w:rFonts w:ascii="Century Gothic" w:hAnsi="Century Gothic" w:cs="Arial"/>
        </w:rPr>
        <w:t>amiliarize yourself with these laws, ordinances, rules, and regulations, and if you have any questions about them, you should consult wit</w:t>
      </w:r>
      <w:r w:rsidR="005D582D" w:rsidRPr="005844A1">
        <w:rPr>
          <w:rFonts w:ascii="Century Gothic" w:hAnsi="Century Gothic" w:cs="Arial"/>
        </w:rPr>
        <w:t>h your own attorney for advice.</w:t>
      </w:r>
      <w:r w:rsidR="004D29F0">
        <w:rPr>
          <w:rFonts w:ascii="Century Gothic" w:hAnsi="Century Gothic" w:cs="Arial"/>
        </w:rPr>
        <w:t xml:space="preserve"> Also note the granting of the registration certificate is not certification of zoning compliance. Rental registration application and certification is subordinate to the City’s Zoning Ordinance.</w:t>
      </w:r>
    </w:p>
    <w:p w:rsidR="008645DF" w:rsidRPr="002C1FAF" w:rsidRDefault="008645DF">
      <w:pPr>
        <w:rPr>
          <w:rFonts w:ascii="Century Gothic" w:hAnsi="Century Gothic" w:cs="Arial"/>
          <w:sz w:val="16"/>
          <w:szCs w:val="16"/>
        </w:rPr>
      </w:pPr>
    </w:p>
    <w:p w:rsidR="008645DF" w:rsidRPr="005844A1" w:rsidRDefault="008645DF" w:rsidP="008645DF">
      <w:pPr>
        <w:jc w:val="center"/>
        <w:rPr>
          <w:rFonts w:ascii="Century Gothic" w:hAnsi="Century Gothic" w:cs="Arial"/>
        </w:rPr>
      </w:pPr>
      <w:r w:rsidRPr="005844A1">
        <w:rPr>
          <w:rFonts w:ascii="Century Gothic" w:hAnsi="Century Gothic" w:cs="Arial"/>
        </w:rPr>
        <w:t>Visit the office of the Minnesota Attorney General for more information:</w:t>
      </w:r>
    </w:p>
    <w:p w:rsidR="008645DF" w:rsidRPr="005844A1" w:rsidRDefault="006455E3" w:rsidP="008645DF">
      <w:pPr>
        <w:jc w:val="center"/>
        <w:rPr>
          <w:rStyle w:val="Hyperlink"/>
          <w:rFonts w:ascii="Century Gothic" w:hAnsi="Century Gothic" w:cs="Arial"/>
        </w:rPr>
      </w:pPr>
      <w:hyperlink r:id="rId7" w:history="1">
        <w:r w:rsidR="008645DF" w:rsidRPr="005844A1">
          <w:rPr>
            <w:rStyle w:val="Hyperlink"/>
            <w:rFonts w:ascii="Century Gothic" w:hAnsi="Century Gothic" w:cs="Arial"/>
          </w:rPr>
          <w:t>http://www.ag.state.mn.us/consumer/Handbooks/LT/default.asp</w:t>
        </w:r>
      </w:hyperlink>
    </w:p>
    <w:p w:rsidR="00F0675C" w:rsidRPr="005844A1" w:rsidRDefault="00F0675C" w:rsidP="00143429">
      <w:pPr>
        <w:jc w:val="center"/>
        <w:rPr>
          <w:rStyle w:val="Hyperlink"/>
          <w:rFonts w:ascii="Century Gothic" w:hAnsi="Century Gothic" w:cs="Arial"/>
          <w:color w:val="FF0000"/>
          <w:u w:val="none"/>
        </w:rPr>
      </w:pPr>
    </w:p>
    <w:p w:rsidR="00143429" w:rsidRPr="005844A1" w:rsidRDefault="00C3294C" w:rsidP="00143429">
      <w:pPr>
        <w:jc w:val="center"/>
        <w:rPr>
          <w:rStyle w:val="Hyperlink"/>
          <w:rFonts w:ascii="Century Gothic" w:hAnsi="Century Gothic" w:cs="Arial"/>
          <w:color w:val="FF0000"/>
          <w:u w:val="none"/>
        </w:rPr>
      </w:pPr>
      <w:r w:rsidRPr="005844A1">
        <w:rPr>
          <w:rStyle w:val="Hyperlink"/>
          <w:rFonts w:ascii="Century Gothic" w:hAnsi="Century Gothic" w:cs="Arial"/>
          <w:color w:val="FF0000"/>
          <w:u w:val="none"/>
        </w:rPr>
        <w:t>“Minnesota Statu</w:t>
      </w:r>
      <w:r w:rsidR="00A63C8D">
        <w:rPr>
          <w:rStyle w:val="Hyperlink"/>
          <w:rFonts w:ascii="Century Gothic" w:hAnsi="Century Gothic" w:cs="Arial"/>
          <w:color w:val="FF0000"/>
          <w:u w:val="none"/>
        </w:rPr>
        <w:t>t</w:t>
      </w:r>
      <w:r w:rsidRPr="005844A1">
        <w:rPr>
          <w:rStyle w:val="Hyperlink"/>
          <w:rFonts w:ascii="Century Gothic" w:hAnsi="Century Gothic" w:cs="Arial"/>
          <w:color w:val="FF0000"/>
          <w:u w:val="none"/>
        </w:rPr>
        <w:t>e 504B.181 requires landlords to notify residential tenants that this</w:t>
      </w:r>
    </w:p>
    <w:p w:rsidR="00C3294C" w:rsidRPr="005844A1" w:rsidRDefault="00C3294C" w:rsidP="00143429">
      <w:pPr>
        <w:jc w:val="center"/>
        <w:rPr>
          <w:rFonts w:ascii="Century Gothic" w:hAnsi="Century Gothic"/>
          <w:color w:val="FF0000"/>
        </w:rPr>
      </w:pPr>
      <w:r w:rsidRPr="005844A1">
        <w:rPr>
          <w:rStyle w:val="Hyperlink"/>
          <w:rFonts w:ascii="Century Gothic" w:hAnsi="Century Gothic" w:cs="Arial"/>
          <w:color w:val="FF0000"/>
          <w:u w:val="none"/>
        </w:rPr>
        <w:t>handbook is available to them.”</w:t>
      </w:r>
    </w:p>
    <w:sectPr w:rsidR="00C3294C" w:rsidRPr="005844A1" w:rsidSect="002C1FAF">
      <w:pgSz w:w="12240" w:h="15840"/>
      <w:pgMar w:top="245" w:right="864" w:bottom="245"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47180"/>
    <w:multiLevelType w:val="hybridMultilevel"/>
    <w:tmpl w:val="18BA0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C750A"/>
    <w:rsid w:val="00143429"/>
    <w:rsid w:val="002C1FAF"/>
    <w:rsid w:val="002C750A"/>
    <w:rsid w:val="003A51D1"/>
    <w:rsid w:val="003C1401"/>
    <w:rsid w:val="004D29F0"/>
    <w:rsid w:val="005844A1"/>
    <w:rsid w:val="005D582D"/>
    <w:rsid w:val="006455E3"/>
    <w:rsid w:val="00711E11"/>
    <w:rsid w:val="00737B98"/>
    <w:rsid w:val="008645DF"/>
    <w:rsid w:val="009D69AA"/>
    <w:rsid w:val="00A63C8D"/>
    <w:rsid w:val="00BA6741"/>
    <w:rsid w:val="00C132E3"/>
    <w:rsid w:val="00C22C5C"/>
    <w:rsid w:val="00C3294C"/>
    <w:rsid w:val="00C33DD3"/>
    <w:rsid w:val="00DF5269"/>
    <w:rsid w:val="00F0675C"/>
    <w:rsid w:val="00F32B11"/>
    <w:rsid w:val="00F56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ED5F5"/>
  <w15:docId w15:val="{4FA5987C-0EB7-490B-91B5-8C5556F2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50A"/>
    <w:pPr>
      <w:spacing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50A"/>
    <w:pPr>
      <w:ind w:left="720"/>
      <w:contextualSpacing/>
    </w:pPr>
  </w:style>
  <w:style w:type="character" w:styleId="Hyperlink">
    <w:name w:val="Hyperlink"/>
    <w:basedOn w:val="DefaultParagraphFont"/>
    <w:uiPriority w:val="99"/>
    <w:unhideWhenUsed/>
    <w:rsid w:val="008645DF"/>
    <w:rPr>
      <w:color w:val="0000FF" w:themeColor="hyperlink"/>
      <w:u w:val="single"/>
    </w:rPr>
  </w:style>
  <w:style w:type="character" w:styleId="FollowedHyperlink">
    <w:name w:val="FollowedHyperlink"/>
    <w:basedOn w:val="DefaultParagraphFont"/>
    <w:uiPriority w:val="99"/>
    <w:semiHidden/>
    <w:unhideWhenUsed/>
    <w:rsid w:val="008645DF"/>
    <w:rPr>
      <w:color w:val="800080" w:themeColor="followedHyperlink"/>
      <w:u w:val="single"/>
    </w:rPr>
  </w:style>
  <w:style w:type="paragraph" w:styleId="BalloonText">
    <w:name w:val="Balloon Text"/>
    <w:basedOn w:val="Normal"/>
    <w:link w:val="BalloonTextChar"/>
    <w:uiPriority w:val="99"/>
    <w:semiHidden/>
    <w:unhideWhenUsed/>
    <w:rsid w:val="00F06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7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130435">
      <w:bodyDiv w:val="1"/>
      <w:marLeft w:val="0"/>
      <w:marRight w:val="0"/>
      <w:marTop w:val="0"/>
      <w:marBottom w:val="0"/>
      <w:divBdr>
        <w:top w:val="none" w:sz="0" w:space="0" w:color="auto"/>
        <w:left w:val="none" w:sz="0" w:space="0" w:color="auto"/>
        <w:bottom w:val="none" w:sz="0" w:space="0" w:color="auto"/>
        <w:right w:val="none" w:sz="0" w:space="0" w:color="auto"/>
      </w:divBdr>
    </w:div>
    <w:div w:id="156441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g.state.mn.us/consumer/Handbooks/LT/defaul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ps.mn.gov/divisions/bca/pages/background-checks.asp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COA</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14</cp:revision>
  <cp:lastPrinted>2022-09-07T20:48:00Z</cp:lastPrinted>
  <dcterms:created xsi:type="dcterms:W3CDTF">2009-12-08T19:52:00Z</dcterms:created>
  <dcterms:modified xsi:type="dcterms:W3CDTF">2022-09-07T20:49:00Z</dcterms:modified>
</cp:coreProperties>
</file>